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1D8" w:rsidRPr="00B7296F" w:rsidRDefault="00F801D8" w:rsidP="00BA2517">
      <w:pPr>
        <w:spacing w:line="480" w:lineRule="auto"/>
        <w:jc w:val="center"/>
        <w:rPr>
          <w:rFonts w:ascii="Times New Roman" w:hAnsi="Times New Roman" w:cs="Times New Roman"/>
          <w:sz w:val="24"/>
          <w:szCs w:val="24"/>
        </w:rPr>
      </w:pPr>
      <w:bookmarkStart w:id="0" w:name="_GoBack"/>
      <w:bookmarkEnd w:id="0"/>
    </w:p>
    <w:p w:rsidR="00F801D8" w:rsidRPr="00B7296F" w:rsidRDefault="00F801D8" w:rsidP="00BA2517">
      <w:pPr>
        <w:spacing w:line="480" w:lineRule="auto"/>
        <w:jc w:val="center"/>
        <w:rPr>
          <w:rFonts w:ascii="Times New Roman" w:hAnsi="Times New Roman" w:cs="Times New Roman"/>
          <w:sz w:val="24"/>
          <w:szCs w:val="24"/>
        </w:rPr>
      </w:pPr>
    </w:p>
    <w:p w:rsidR="00F801D8" w:rsidRPr="00B7296F" w:rsidRDefault="00F801D8" w:rsidP="00BA2517">
      <w:pPr>
        <w:spacing w:line="480" w:lineRule="auto"/>
        <w:jc w:val="center"/>
        <w:rPr>
          <w:rFonts w:ascii="Times New Roman" w:hAnsi="Times New Roman" w:cs="Times New Roman"/>
          <w:sz w:val="24"/>
          <w:szCs w:val="24"/>
        </w:rPr>
      </w:pPr>
    </w:p>
    <w:p w:rsidR="00B7296F" w:rsidRPr="00B7296F" w:rsidRDefault="00B7296F" w:rsidP="00BA2517">
      <w:pPr>
        <w:spacing w:line="480" w:lineRule="auto"/>
        <w:jc w:val="center"/>
        <w:rPr>
          <w:rFonts w:ascii="Times New Roman" w:hAnsi="Times New Roman" w:cs="Times New Roman"/>
          <w:sz w:val="24"/>
          <w:szCs w:val="24"/>
        </w:rPr>
      </w:pPr>
    </w:p>
    <w:p w:rsidR="00F801D8" w:rsidRPr="00BA2517" w:rsidRDefault="00480603" w:rsidP="00BA2517">
      <w:pPr>
        <w:spacing w:line="480" w:lineRule="auto"/>
        <w:jc w:val="center"/>
        <w:rPr>
          <w:rFonts w:ascii="Times New Roman" w:hAnsi="Times New Roman" w:cs="Times New Roman"/>
          <w:b/>
          <w:sz w:val="24"/>
          <w:szCs w:val="24"/>
        </w:rPr>
      </w:pPr>
      <w:r w:rsidRPr="00BA2517">
        <w:rPr>
          <w:rFonts w:ascii="Times New Roman" w:hAnsi="Times New Roman" w:cs="Times New Roman"/>
          <w:b/>
          <w:sz w:val="24"/>
          <w:szCs w:val="24"/>
        </w:rPr>
        <w:t>Law case studies</w:t>
      </w:r>
    </w:p>
    <w:p w:rsidR="00F801D8" w:rsidRPr="00B7296F" w:rsidRDefault="00F801D8" w:rsidP="00BA2517">
      <w:pPr>
        <w:spacing w:line="480" w:lineRule="auto"/>
        <w:jc w:val="center"/>
        <w:rPr>
          <w:rFonts w:ascii="Times New Roman" w:hAnsi="Times New Roman" w:cs="Times New Roman"/>
          <w:sz w:val="24"/>
          <w:szCs w:val="24"/>
        </w:rPr>
      </w:pPr>
    </w:p>
    <w:p w:rsidR="00F801D8" w:rsidRPr="00B7296F" w:rsidRDefault="00F801D8" w:rsidP="00BA2517">
      <w:pPr>
        <w:spacing w:line="480" w:lineRule="auto"/>
        <w:jc w:val="center"/>
        <w:rPr>
          <w:rFonts w:ascii="Times New Roman" w:hAnsi="Times New Roman" w:cs="Times New Roman"/>
          <w:sz w:val="24"/>
          <w:szCs w:val="24"/>
        </w:rPr>
      </w:pPr>
    </w:p>
    <w:p w:rsidR="00F801D8" w:rsidRPr="00B7296F" w:rsidRDefault="00480603" w:rsidP="00BA2517">
      <w:pPr>
        <w:spacing w:line="480" w:lineRule="auto"/>
        <w:jc w:val="center"/>
        <w:rPr>
          <w:rFonts w:ascii="Times New Roman" w:hAnsi="Times New Roman" w:cs="Times New Roman"/>
          <w:sz w:val="24"/>
          <w:szCs w:val="24"/>
        </w:rPr>
      </w:pPr>
      <w:r w:rsidRPr="00B7296F">
        <w:rPr>
          <w:rFonts w:ascii="Times New Roman" w:hAnsi="Times New Roman" w:cs="Times New Roman"/>
          <w:sz w:val="24"/>
          <w:szCs w:val="24"/>
        </w:rPr>
        <w:t>Name</w:t>
      </w:r>
    </w:p>
    <w:p w:rsidR="00F801D8" w:rsidRPr="00B7296F" w:rsidRDefault="00480603" w:rsidP="00BA2517">
      <w:pPr>
        <w:spacing w:line="480" w:lineRule="auto"/>
        <w:jc w:val="center"/>
        <w:rPr>
          <w:rFonts w:ascii="Times New Roman" w:hAnsi="Times New Roman" w:cs="Times New Roman"/>
          <w:sz w:val="24"/>
          <w:szCs w:val="24"/>
        </w:rPr>
      </w:pPr>
      <w:r w:rsidRPr="00B7296F">
        <w:rPr>
          <w:rFonts w:ascii="Times New Roman" w:hAnsi="Times New Roman" w:cs="Times New Roman"/>
          <w:sz w:val="24"/>
          <w:szCs w:val="24"/>
        </w:rPr>
        <w:t>Institution</w:t>
      </w:r>
    </w:p>
    <w:p w:rsidR="00F801D8" w:rsidRPr="00B7296F" w:rsidRDefault="00480603" w:rsidP="00BA2517">
      <w:pPr>
        <w:spacing w:line="480" w:lineRule="auto"/>
        <w:jc w:val="center"/>
        <w:rPr>
          <w:rFonts w:ascii="Times New Roman" w:hAnsi="Times New Roman" w:cs="Times New Roman"/>
          <w:sz w:val="24"/>
          <w:szCs w:val="24"/>
        </w:rPr>
      </w:pPr>
      <w:r w:rsidRPr="00B7296F">
        <w:rPr>
          <w:rFonts w:ascii="Times New Roman" w:hAnsi="Times New Roman" w:cs="Times New Roman"/>
          <w:sz w:val="24"/>
          <w:szCs w:val="24"/>
        </w:rPr>
        <w:t>Course</w:t>
      </w:r>
    </w:p>
    <w:p w:rsidR="00F801D8" w:rsidRPr="00B7296F" w:rsidRDefault="00480603" w:rsidP="00BA2517">
      <w:pPr>
        <w:spacing w:line="480" w:lineRule="auto"/>
        <w:jc w:val="center"/>
        <w:rPr>
          <w:rFonts w:ascii="Times New Roman" w:hAnsi="Times New Roman" w:cs="Times New Roman"/>
          <w:sz w:val="24"/>
          <w:szCs w:val="24"/>
        </w:rPr>
      </w:pPr>
      <w:r w:rsidRPr="00B7296F">
        <w:rPr>
          <w:rFonts w:ascii="Times New Roman" w:hAnsi="Times New Roman" w:cs="Times New Roman"/>
          <w:sz w:val="24"/>
          <w:szCs w:val="24"/>
        </w:rPr>
        <w:t>Professor</w:t>
      </w:r>
    </w:p>
    <w:p w:rsidR="00F801D8" w:rsidRPr="00B7296F" w:rsidRDefault="00480603" w:rsidP="00BA2517">
      <w:pPr>
        <w:spacing w:line="480" w:lineRule="auto"/>
        <w:jc w:val="center"/>
        <w:rPr>
          <w:rFonts w:ascii="Times New Roman" w:hAnsi="Times New Roman" w:cs="Times New Roman"/>
          <w:sz w:val="24"/>
          <w:szCs w:val="24"/>
        </w:rPr>
      </w:pPr>
      <w:r w:rsidRPr="00B7296F">
        <w:rPr>
          <w:rFonts w:ascii="Times New Roman" w:hAnsi="Times New Roman" w:cs="Times New Roman"/>
          <w:sz w:val="24"/>
          <w:szCs w:val="24"/>
        </w:rPr>
        <w:t>Date</w:t>
      </w:r>
    </w:p>
    <w:p w:rsidR="00F801D8" w:rsidRPr="00B7296F" w:rsidRDefault="00F801D8" w:rsidP="00BA2517">
      <w:pPr>
        <w:spacing w:line="480" w:lineRule="auto"/>
        <w:jc w:val="center"/>
        <w:rPr>
          <w:rFonts w:ascii="Times New Roman" w:hAnsi="Times New Roman" w:cs="Times New Roman"/>
          <w:sz w:val="24"/>
          <w:szCs w:val="24"/>
        </w:rPr>
      </w:pPr>
    </w:p>
    <w:p w:rsidR="00F801D8" w:rsidRPr="00B7296F" w:rsidRDefault="00F801D8" w:rsidP="00BA2517">
      <w:pPr>
        <w:spacing w:line="480" w:lineRule="auto"/>
        <w:jc w:val="center"/>
        <w:rPr>
          <w:rFonts w:ascii="Times New Roman" w:hAnsi="Times New Roman" w:cs="Times New Roman"/>
          <w:sz w:val="24"/>
          <w:szCs w:val="24"/>
        </w:rPr>
      </w:pPr>
    </w:p>
    <w:p w:rsidR="00BA2517" w:rsidRDefault="00BA2517" w:rsidP="00BA2517">
      <w:pPr>
        <w:spacing w:line="480" w:lineRule="auto"/>
        <w:jc w:val="center"/>
        <w:rPr>
          <w:rFonts w:ascii="Times New Roman" w:hAnsi="Times New Roman" w:cs="Times New Roman"/>
          <w:sz w:val="24"/>
          <w:szCs w:val="24"/>
        </w:rPr>
      </w:pPr>
    </w:p>
    <w:p w:rsidR="00BA2517" w:rsidRDefault="00BA2517" w:rsidP="00BA2517">
      <w:pPr>
        <w:spacing w:line="480" w:lineRule="auto"/>
        <w:jc w:val="center"/>
        <w:rPr>
          <w:rFonts w:ascii="Times New Roman" w:hAnsi="Times New Roman" w:cs="Times New Roman"/>
          <w:sz w:val="24"/>
          <w:szCs w:val="24"/>
        </w:rPr>
      </w:pPr>
    </w:p>
    <w:p w:rsidR="00BA2517" w:rsidRDefault="00BA2517" w:rsidP="00BA2517">
      <w:pPr>
        <w:spacing w:line="480" w:lineRule="auto"/>
        <w:jc w:val="center"/>
        <w:rPr>
          <w:rFonts w:ascii="Times New Roman" w:hAnsi="Times New Roman" w:cs="Times New Roman"/>
          <w:sz w:val="24"/>
          <w:szCs w:val="24"/>
        </w:rPr>
      </w:pPr>
    </w:p>
    <w:p w:rsidR="00BA2517" w:rsidRDefault="00BA2517" w:rsidP="00BA2517">
      <w:pPr>
        <w:spacing w:line="480" w:lineRule="auto"/>
        <w:jc w:val="center"/>
        <w:rPr>
          <w:rFonts w:ascii="Times New Roman" w:hAnsi="Times New Roman" w:cs="Times New Roman"/>
          <w:sz w:val="24"/>
          <w:szCs w:val="24"/>
        </w:rPr>
      </w:pPr>
    </w:p>
    <w:p w:rsidR="00F801D8" w:rsidRPr="00BA2517" w:rsidRDefault="00480603" w:rsidP="00BA2517">
      <w:pPr>
        <w:spacing w:line="480" w:lineRule="auto"/>
        <w:jc w:val="center"/>
        <w:rPr>
          <w:rFonts w:ascii="Times New Roman" w:hAnsi="Times New Roman" w:cs="Times New Roman"/>
          <w:b/>
          <w:sz w:val="24"/>
          <w:szCs w:val="24"/>
        </w:rPr>
      </w:pPr>
      <w:r w:rsidRPr="00BA2517">
        <w:rPr>
          <w:rFonts w:ascii="Times New Roman" w:hAnsi="Times New Roman" w:cs="Times New Roman"/>
          <w:b/>
          <w:sz w:val="24"/>
          <w:szCs w:val="24"/>
        </w:rPr>
        <w:lastRenderedPageBreak/>
        <w:t>Law case studies</w:t>
      </w:r>
    </w:p>
    <w:p w:rsidR="00BA4FC8" w:rsidRPr="00B7296F" w:rsidRDefault="00480603" w:rsidP="00BA2517">
      <w:pPr>
        <w:spacing w:line="480" w:lineRule="auto"/>
        <w:jc w:val="center"/>
        <w:rPr>
          <w:rFonts w:ascii="Times New Roman" w:hAnsi="Times New Roman" w:cs="Times New Roman"/>
          <w:sz w:val="24"/>
          <w:szCs w:val="24"/>
        </w:rPr>
      </w:pPr>
      <w:r w:rsidRPr="00B7296F">
        <w:rPr>
          <w:rFonts w:ascii="Times New Roman" w:hAnsi="Times New Roman" w:cs="Times New Roman"/>
          <w:sz w:val="24"/>
          <w:szCs w:val="24"/>
        </w:rPr>
        <w:t>Question 1</w:t>
      </w:r>
    </w:p>
    <w:p w:rsidR="00925EEE" w:rsidRPr="00B7296F" w:rsidRDefault="00480603" w:rsidP="00BA2517">
      <w:pPr>
        <w:spacing w:line="480" w:lineRule="auto"/>
        <w:ind w:firstLine="720"/>
        <w:jc w:val="both"/>
        <w:rPr>
          <w:rFonts w:ascii="Times New Roman" w:hAnsi="Times New Roman" w:cs="Times New Roman"/>
          <w:sz w:val="24"/>
          <w:szCs w:val="24"/>
        </w:rPr>
      </w:pPr>
      <w:r w:rsidRPr="00B7296F">
        <w:rPr>
          <w:rFonts w:ascii="Times New Roman" w:hAnsi="Times New Roman" w:cs="Times New Roman"/>
          <w:sz w:val="24"/>
          <w:szCs w:val="24"/>
        </w:rPr>
        <w:t>The statement of the confession by Charlie cannot befit conviction in an appeal. It was only one interrogation, and Charlie's counsel was not aware of what was happening. In the ruling, I would not affirm the appeal in its first circuit. This case involves a first-degree murder, and the involved party is a drug lord who could be under the influence of drugs</w:t>
      </w:r>
      <w:r w:rsidR="00B7296F" w:rsidRPr="00B7296F">
        <w:rPr>
          <w:rFonts w:ascii="Times New Roman" w:hAnsi="Times New Roman" w:cs="Times New Roman"/>
          <w:sz w:val="24"/>
          <w:szCs w:val="24"/>
        </w:rPr>
        <w:t xml:space="preserve"> (</w:t>
      </w:r>
      <w:r w:rsidR="00B7296F" w:rsidRPr="00B7296F">
        <w:rPr>
          <w:rFonts w:ascii="Times New Roman" w:hAnsi="Times New Roman" w:cs="Times New Roman"/>
          <w:color w:val="222222"/>
          <w:sz w:val="24"/>
          <w:szCs w:val="24"/>
          <w:shd w:val="clear" w:color="auto" w:fill="FFFFFF"/>
        </w:rPr>
        <w:t>Practicum, 2018)</w:t>
      </w:r>
      <w:r w:rsidRPr="00B7296F">
        <w:rPr>
          <w:rFonts w:ascii="Times New Roman" w:hAnsi="Times New Roman" w:cs="Times New Roman"/>
          <w:sz w:val="24"/>
          <w:szCs w:val="24"/>
        </w:rPr>
        <w:t xml:space="preserve">. In the </w:t>
      </w:r>
      <w:r w:rsidR="00D80E39" w:rsidRPr="00B7296F">
        <w:rPr>
          <w:rFonts w:ascii="Times New Roman" w:hAnsi="Times New Roman" w:cs="Times New Roman"/>
          <w:sz w:val="24"/>
          <w:szCs w:val="24"/>
        </w:rPr>
        <w:t>Fifth Amendment,</w:t>
      </w:r>
      <w:r w:rsidRPr="00B7296F">
        <w:rPr>
          <w:rFonts w:ascii="Times New Roman" w:hAnsi="Times New Roman" w:cs="Times New Roman"/>
          <w:sz w:val="24"/>
          <w:szCs w:val="24"/>
        </w:rPr>
        <w:t xml:space="preserve"> </w:t>
      </w:r>
      <w:r w:rsidR="00D80E39" w:rsidRPr="00B7296F">
        <w:rPr>
          <w:rFonts w:ascii="Times New Roman" w:hAnsi="Times New Roman" w:cs="Times New Roman"/>
          <w:sz w:val="24"/>
          <w:szCs w:val="24"/>
        </w:rPr>
        <w:t>individual statements of interrogations cannot be criticized into a jury ruling. It could be possible self-incrimination where the individual has a strategy of escape or is hiding some part of what really transpired. A former ruling "a defendant must be warned before a ruling that every word will be used against them and the attorney must be present at that time." The reference is enough to discredit the claims.</w:t>
      </w:r>
    </w:p>
    <w:p w:rsidR="00D80E39" w:rsidRPr="00B7296F" w:rsidRDefault="00480603" w:rsidP="00BA2517">
      <w:pPr>
        <w:spacing w:line="480" w:lineRule="auto"/>
        <w:jc w:val="center"/>
        <w:rPr>
          <w:rFonts w:ascii="Times New Roman" w:hAnsi="Times New Roman" w:cs="Times New Roman"/>
          <w:sz w:val="24"/>
          <w:szCs w:val="24"/>
        </w:rPr>
      </w:pPr>
      <w:r w:rsidRPr="00B7296F">
        <w:rPr>
          <w:rFonts w:ascii="Times New Roman" w:hAnsi="Times New Roman" w:cs="Times New Roman"/>
          <w:sz w:val="24"/>
          <w:szCs w:val="24"/>
        </w:rPr>
        <w:t>Question 2</w:t>
      </w:r>
    </w:p>
    <w:p w:rsidR="003E3C14" w:rsidRPr="00B7296F" w:rsidRDefault="00480603" w:rsidP="00BA2517">
      <w:pPr>
        <w:spacing w:line="480" w:lineRule="auto"/>
        <w:ind w:firstLine="720"/>
        <w:jc w:val="both"/>
        <w:rPr>
          <w:rFonts w:ascii="Times New Roman" w:hAnsi="Times New Roman" w:cs="Times New Roman"/>
          <w:sz w:val="24"/>
          <w:szCs w:val="24"/>
        </w:rPr>
      </w:pPr>
      <w:r w:rsidRPr="00B7296F">
        <w:rPr>
          <w:rFonts w:ascii="Times New Roman" w:hAnsi="Times New Roman" w:cs="Times New Roman"/>
          <w:sz w:val="24"/>
          <w:szCs w:val="24"/>
        </w:rPr>
        <w:t>The appeal cannot</w:t>
      </w:r>
      <w:r w:rsidR="00A0742F" w:rsidRPr="00B7296F">
        <w:rPr>
          <w:rFonts w:ascii="Times New Roman" w:hAnsi="Times New Roman" w:cs="Times New Roman"/>
          <w:sz w:val="24"/>
          <w:szCs w:val="24"/>
        </w:rPr>
        <w:t xml:space="preserve"> be successful. The statement used in this affirmation was issued when the attorney was not present. Miranda</w:t>
      </w:r>
      <w:r w:rsidRPr="00B7296F">
        <w:rPr>
          <w:rFonts w:ascii="Times New Roman" w:hAnsi="Times New Roman" w:cs="Times New Roman"/>
          <w:sz w:val="24"/>
          <w:szCs w:val="24"/>
        </w:rPr>
        <w:t xml:space="preserve"> was read</w:t>
      </w:r>
      <w:r w:rsidR="00A0742F" w:rsidRPr="00B7296F">
        <w:rPr>
          <w:rFonts w:ascii="Times New Roman" w:hAnsi="Times New Roman" w:cs="Times New Roman"/>
          <w:sz w:val="24"/>
          <w:szCs w:val="24"/>
        </w:rPr>
        <w:t xml:space="preserve"> twice. The statement leads to revealing the gun, so all this was the right process with a violating beginning. Constitutionally the Miranda gives the defendants the right to be warned that any comment or statement would be used against them.</w:t>
      </w:r>
      <w:r w:rsidRPr="00B7296F">
        <w:rPr>
          <w:rFonts w:ascii="Times New Roman" w:hAnsi="Times New Roman" w:cs="Times New Roman"/>
          <w:sz w:val="24"/>
          <w:szCs w:val="24"/>
        </w:rPr>
        <w:t xml:space="preserve"> In this case, the situation gives the right to use the statement.Pp652-659 of the Miranda encapsulates the importance of considering the prophylactic language rules, where the safety of the kids around the school is paramount, and the breaching of the lawyer's presence was </w:t>
      </w:r>
      <w:r w:rsidR="00B7296F" w:rsidRPr="00B7296F">
        <w:rPr>
          <w:rFonts w:ascii="Times New Roman" w:hAnsi="Times New Roman" w:cs="Times New Roman"/>
          <w:sz w:val="24"/>
          <w:szCs w:val="24"/>
        </w:rPr>
        <w:t>essential (</w:t>
      </w:r>
      <w:r w:rsidR="00B7296F" w:rsidRPr="00B7296F">
        <w:rPr>
          <w:rFonts w:ascii="Times New Roman" w:hAnsi="Times New Roman" w:cs="Times New Roman"/>
          <w:color w:val="222222"/>
          <w:sz w:val="24"/>
          <w:szCs w:val="24"/>
          <w:shd w:val="clear" w:color="auto" w:fill="FFFFFF"/>
        </w:rPr>
        <w:t>Vernon &amp; Coley 2019)</w:t>
      </w:r>
      <w:r w:rsidRPr="00B7296F">
        <w:rPr>
          <w:rFonts w:ascii="Times New Roman" w:hAnsi="Times New Roman" w:cs="Times New Roman"/>
          <w:sz w:val="24"/>
          <w:szCs w:val="24"/>
        </w:rPr>
        <w:t>.</w:t>
      </w:r>
    </w:p>
    <w:p w:rsidR="00BA2517" w:rsidRDefault="00BA2517" w:rsidP="00BA2517">
      <w:pPr>
        <w:spacing w:line="480" w:lineRule="auto"/>
        <w:jc w:val="both"/>
        <w:rPr>
          <w:rFonts w:ascii="Times New Roman" w:hAnsi="Times New Roman" w:cs="Times New Roman"/>
          <w:sz w:val="24"/>
          <w:szCs w:val="24"/>
        </w:rPr>
      </w:pPr>
    </w:p>
    <w:p w:rsidR="005A02CC" w:rsidRPr="00B7296F" w:rsidRDefault="00480603" w:rsidP="00BA2517">
      <w:pPr>
        <w:spacing w:line="480" w:lineRule="auto"/>
        <w:jc w:val="center"/>
        <w:rPr>
          <w:rFonts w:ascii="Times New Roman" w:hAnsi="Times New Roman" w:cs="Times New Roman"/>
          <w:sz w:val="24"/>
          <w:szCs w:val="24"/>
        </w:rPr>
      </w:pPr>
      <w:r w:rsidRPr="00B7296F">
        <w:rPr>
          <w:rFonts w:ascii="Times New Roman" w:hAnsi="Times New Roman" w:cs="Times New Roman"/>
          <w:sz w:val="24"/>
          <w:szCs w:val="24"/>
        </w:rPr>
        <w:lastRenderedPageBreak/>
        <w:t>Question 3</w:t>
      </w:r>
    </w:p>
    <w:p w:rsidR="005A02CC" w:rsidRPr="00B7296F" w:rsidRDefault="00480603" w:rsidP="00BA2517">
      <w:pPr>
        <w:spacing w:line="480" w:lineRule="auto"/>
        <w:ind w:firstLine="720"/>
        <w:jc w:val="both"/>
        <w:rPr>
          <w:rFonts w:ascii="Times New Roman" w:hAnsi="Times New Roman" w:cs="Times New Roman"/>
          <w:sz w:val="24"/>
          <w:szCs w:val="24"/>
        </w:rPr>
      </w:pPr>
      <w:r w:rsidRPr="00B7296F">
        <w:rPr>
          <w:rFonts w:ascii="Times New Roman" w:hAnsi="Times New Roman" w:cs="Times New Roman"/>
          <w:sz w:val="24"/>
          <w:szCs w:val="24"/>
        </w:rPr>
        <w:t xml:space="preserve">Self-defense affirmative defense is a form available for </w:t>
      </w:r>
      <w:r w:rsidR="006F2A73" w:rsidRPr="00B7296F">
        <w:rPr>
          <w:rFonts w:ascii="Times New Roman" w:hAnsi="Times New Roman" w:cs="Times New Roman"/>
          <w:sz w:val="24"/>
          <w:szCs w:val="24"/>
        </w:rPr>
        <w:t>Lindsay. An</w:t>
      </w:r>
      <w:r w:rsidRPr="00B7296F">
        <w:rPr>
          <w:rFonts w:ascii="Times New Roman" w:hAnsi="Times New Roman" w:cs="Times New Roman"/>
          <w:sz w:val="24"/>
          <w:szCs w:val="24"/>
        </w:rPr>
        <w:t xml:space="preserve"> </w:t>
      </w:r>
      <w:r w:rsidR="006F2A73" w:rsidRPr="00B7296F">
        <w:rPr>
          <w:rFonts w:ascii="Times New Roman" w:hAnsi="Times New Roman" w:cs="Times New Roman"/>
          <w:sz w:val="24"/>
          <w:szCs w:val="24"/>
        </w:rPr>
        <w:t>affirmative</w:t>
      </w:r>
      <w:r w:rsidRPr="00B7296F">
        <w:rPr>
          <w:rFonts w:ascii="Times New Roman" w:hAnsi="Times New Roman" w:cs="Times New Roman"/>
          <w:sz w:val="24"/>
          <w:szCs w:val="24"/>
        </w:rPr>
        <w:t xml:space="preserve"> </w:t>
      </w:r>
      <w:r w:rsidR="006F2A73" w:rsidRPr="00B7296F">
        <w:rPr>
          <w:rFonts w:ascii="Times New Roman" w:hAnsi="Times New Roman" w:cs="Times New Roman"/>
          <w:sz w:val="24"/>
          <w:szCs w:val="24"/>
        </w:rPr>
        <w:t>defense</w:t>
      </w:r>
      <w:r w:rsidRPr="00B7296F">
        <w:rPr>
          <w:rFonts w:ascii="Times New Roman" w:hAnsi="Times New Roman" w:cs="Times New Roman"/>
          <w:sz w:val="24"/>
          <w:szCs w:val="24"/>
        </w:rPr>
        <w:t xml:space="preserve"> is </w:t>
      </w:r>
      <w:r w:rsidR="006F2A73" w:rsidRPr="00B7296F">
        <w:rPr>
          <w:rFonts w:ascii="Times New Roman" w:hAnsi="Times New Roman" w:cs="Times New Roman"/>
          <w:sz w:val="24"/>
          <w:szCs w:val="24"/>
        </w:rPr>
        <w:t>meant</w:t>
      </w:r>
      <w:r w:rsidRPr="00B7296F">
        <w:rPr>
          <w:rFonts w:ascii="Times New Roman" w:hAnsi="Times New Roman" w:cs="Times New Roman"/>
          <w:sz w:val="24"/>
          <w:szCs w:val="24"/>
        </w:rPr>
        <w:t xml:space="preserve"> to </w:t>
      </w:r>
      <w:r w:rsidR="006F2A73" w:rsidRPr="00B7296F">
        <w:rPr>
          <w:rFonts w:ascii="Times New Roman" w:hAnsi="Times New Roman" w:cs="Times New Roman"/>
          <w:sz w:val="24"/>
          <w:szCs w:val="24"/>
        </w:rPr>
        <w:t>stop conviction in all cases, including the situation of enough proof.</w:t>
      </w:r>
      <w:r w:rsidRPr="00B7296F">
        <w:rPr>
          <w:rFonts w:ascii="Times New Roman" w:hAnsi="Times New Roman" w:cs="Times New Roman"/>
          <w:sz w:val="24"/>
          <w:szCs w:val="24"/>
        </w:rPr>
        <w:t xml:space="preserve"> </w:t>
      </w:r>
      <w:r w:rsidR="006F2A73" w:rsidRPr="00B7296F">
        <w:rPr>
          <w:rFonts w:ascii="Times New Roman" w:hAnsi="Times New Roman" w:cs="Times New Roman"/>
          <w:sz w:val="24"/>
          <w:szCs w:val="24"/>
        </w:rPr>
        <w:t>Ina case example where an individual is accused of murder, the murdered individual is not there to proof hence if the jury gets convinced by the accused that he fired when the victim tried to kill him, they might get over a conviction. It can be successful as the affirmative defense can go beyond the detailed proof of the</w:t>
      </w:r>
      <w:r w:rsidR="00EC40BD" w:rsidRPr="00B7296F">
        <w:rPr>
          <w:rFonts w:ascii="Times New Roman" w:hAnsi="Times New Roman" w:cs="Times New Roman"/>
          <w:sz w:val="24"/>
          <w:szCs w:val="24"/>
        </w:rPr>
        <w:t xml:space="preserve"> undercover</w:t>
      </w:r>
      <w:r w:rsidR="00B7296F" w:rsidRPr="00B7296F">
        <w:rPr>
          <w:rFonts w:ascii="Times New Roman" w:hAnsi="Times New Roman" w:cs="Times New Roman"/>
          <w:sz w:val="24"/>
          <w:szCs w:val="24"/>
        </w:rPr>
        <w:t xml:space="preserve"> (</w:t>
      </w:r>
      <w:r w:rsidR="00B7296F" w:rsidRPr="00B7296F">
        <w:rPr>
          <w:rFonts w:ascii="Times New Roman" w:hAnsi="Times New Roman" w:cs="Times New Roman"/>
          <w:color w:val="222222"/>
          <w:sz w:val="24"/>
          <w:szCs w:val="24"/>
          <w:shd w:val="clear" w:color="auto" w:fill="FFFFFF"/>
        </w:rPr>
        <w:t>Pellegrino, 2019)</w:t>
      </w:r>
      <w:r w:rsidR="00EC40BD" w:rsidRPr="00B7296F">
        <w:rPr>
          <w:rFonts w:ascii="Times New Roman" w:hAnsi="Times New Roman" w:cs="Times New Roman"/>
          <w:sz w:val="24"/>
          <w:szCs w:val="24"/>
        </w:rPr>
        <w:t>. This kind of defense is enshrined in the ability to concede the prosecutor's side.</w:t>
      </w:r>
    </w:p>
    <w:p w:rsidR="00EC40BD" w:rsidRPr="00B7296F" w:rsidRDefault="00480603" w:rsidP="00BA2517">
      <w:pPr>
        <w:spacing w:line="480" w:lineRule="auto"/>
        <w:jc w:val="center"/>
        <w:rPr>
          <w:rFonts w:ascii="Times New Roman" w:hAnsi="Times New Roman" w:cs="Times New Roman"/>
          <w:sz w:val="24"/>
          <w:szCs w:val="24"/>
        </w:rPr>
      </w:pPr>
      <w:r w:rsidRPr="00B7296F">
        <w:rPr>
          <w:rFonts w:ascii="Times New Roman" w:hAnsi="Times New Roman" w:cs="Times New Roman"/>
          <w:sz w:val="24"/>
          <w:szCs w:val="24"/>
        </w:rPr>
        <w:t>Question 4</w:t>
      </w:r>
    </w:p>
    <w:p w:rsidR="00EC40BD" w:rsidRPr="00B7296F" w:rsidRDefault="00480603" w:rsidP="00BA2517">
      <w:pPr>
        <w:spacing w:line="480" w:lineRule="auto"/>
        <w:ind w:firstLine="720"/>
        <w:jc w:val="both"/>
        <w:rPr>
          <w:rFonts w:ascii="Times New Roman" w:hAnsi="Times New Roman" w:cs="Times New Roman"/>
          <w:sz w:val="24"/>
          <w:szCs w:val="24"/>
        </w:rPr>
      </w:pPr>
      <w:r w:rsidRPr="00B7296F">
        <w:rPr>
          <w:rFonts w:ascii="Times New Roman" w:hAnsi="Times New Roman" w:cs="Times New Roman"/>
          <w:sz w:val="24"/>
          <w:szCs w:val="24"/>
        </w:rPr>
        <w:t>In the case of the first murder, it entails where unpac killed a driver. If there is enough evidence to convict the jury about the engagement of unpac in that act, he will receive charges based on robbery with committed murder. A statue is made constitutional if it dramatically determines the relation</w:t>
      </w:r>
      <w:r w:rsidR="00F331CE" w:rsidRPr="00B7296F">
        <w:rPr>
          <w:rFonts w:ascii="Times New Roman" w:hAnsi="Times New Roman" w:cs="Times New Roman"/>
          <w:sz w:val="24"/>
          <w:szCs w:val="24"/>
        </w:rPr>
        <w:t>sh</w:t>
      </w:r>
      <w:r w:rsidRPr="00B7296F">
        <w:rPr>
          <w:rFonts w:ascii="Times New Roman" w:hAnsi="Times New Roman" w:cs="Times New Roman"/>
          <w:sz w:val="24"/>
          <w:szCs w:val="24"/>
        </w:rPr>
        <w:t xml:space="preserve">ip of the state and its </w:t>
      </w:r>
      <w:r w:rsidR="00F331CE" w:rsidRPr="00B7296F">
        <w:rPr>
          <w:rFonts w:ascii="Times New Roman" w:hAnsi="Times New Roman" w:cs="Times New Roman"/>
          <w:sz w:val="24"/>
          <w:szCs w:val="24"/>
        </w:rPr>
        <w:t>citizens while affecting individuals' primary duties and rights.</w:t>
      </w:r>
    </w:p>
    <w:p w:rsidR="00F331CE" w:rsidRPr="00B7296F" w:rsidRDefault="00480603" w:rsidP="00BA2517">
      <w:pPr>
        <w:spacing w:line="480" w:lineRule="auto"/>
        <w:jc w:val="center"/>
        <w:rPr>
          <w:rFonts w:ascii="Times New Roman" w:hAnsi="Times New Roman" w:cs="Times New Roman"/>
          <w:sz w:val="24"/>
          <w:szCs w:val="24"/>
        </w:rPr>
      </w:pPr>
      <w:r w:rsidRPr="00B7296F">
        <w:rPr>
          <w:rFonts w:ascii="Times New Roman" w:hAnsi="Times New Roman" w:cs="Times New Roman"/>
          <w:sz w:val="24"/>
          <w:szCs w:val="24"/>
        </w:rPr>
        <w:t>Question 5</w:t>
      </w:r>
    </w:p>
    <w:p w:rsidR="00F331CE" w:rsidRPr="00B7296F" w:rsidRDefault="00480603" w:rsidP="00BA2517">
      <w:pPr>
        <w:spacing w:line="480" w:lineRule="auto"/>
        <w:jc w:val="both"/>
        <w:rPr>
          <w:rFonts w:ascii="Times New Roman" w:hAnsi="Times New Roman" w:cs="Times New Roman"/>
          <w:sz w:val="24"/>
          <w:szCs w:val="24"/>
        </w:rPr>
      </w:pPr>
      <w:r w:rsidRPr="00B7296F">
        <w:rPr>
          <w:rFonts w:ascii="Times New Roman" w:hAnsi="Times New Roman" w:cs="Times New Roman"/>
          <w:sz w:val="24"/>
          <w:szCs w:val="24"/>
        </w:rPr>
        <w:t xml:space="preserve">Affirmative </w:t>
      </w:r>
    </w:p>
    <w:p w:rsidR="00DE1F2C" w:rsidRPr="00B7296F" w:rsidRDefault="00480603" w:rsidP="00BA2517">
      <w:pPr>
        <w:spacing w:line="480" w:lineRule="auto"/>
        <w:ind w:firstLine="720"/>
        <w:jc w:val="both"/>
        <w:rPr>
          <w:rFonts w:ascii="Times New Roman" w:hAnsi="Times New Roman" w:cs="Times New Roman"/>
          <w:sz w:val="24"/>
          <w:szCs w:val="24"/>
        </w:rPr>
      </w:pPr>
      <w:r w:rsidRPr="00B7296F">
        <w:rPr>
          <w:rFonts w:ascii="Times New Roman" w:hAnsi="Times New Roman" w:cs="Times New Roman"/>
          <w:sz w:val="24"/>
          <w:szCs w:val="24"/>
        </w:rPr>
        <w:t>In a former case ruling where the Miranda was read and the accused made confessions, the police uses this as pieces of evidence in their prosecution. In Charlie's statement, the charges might be hefty as they involve a murder case</w:t>
      </w:r>
      <w:r w:rsidR="00B7296F" w:rsidRPr="00B7296F">
        <w:rPr>
          <w:rFonts w:ascii="Times New Roman" w:hAnsi="Times New Roman" w:cs="Times New Roman"/>
          <w:sz w:val="24"/>
          <w:szCs w:val="24"/>
        </w:rPr>
        <w:t xml:space="preserve"> (</w:t>
      </w:r>
      <w:r w:rsidR="00B7296F" w:rsidRPr="00B7296F">
        <w:rPr>
          <w:rFonts w:ascii="Times New Roman" w:hAnsi="Times New Roman" w:cs="Times New Roman"/>
          <w:color w:val="222222"/>
          <w:sz w:val="24"/>
          <w:szCs w:val="24"/>
          <w:shd w:val="clear" w:color="auto" w:fill="FFFFFF"/>
        </w:rPr>
        <w:t>Truong, Kelley &amp; Eden’s 2020)</w:t>
      </w:r>
      <w:r w:rsidRPr="00B7296F">
        <w:rPr>
          <w:rFonts w:ascii="Times New Roman" w:hAnsi="Times New Roman" w:cs="Times New Roman"/>
          <w:sz w:val="24"/>
          <w:szCs w:val="24"/>
        </w:rPr>
        <w:t xml:space="preserve">. It calls for more scrutiny as the individual could be engaging in self-incrimination to make this the primary charge and quickly get to convince the jury through the affirmative defense. The absence of the lawyer at the </w:t>
      </w:r>
      <w:r w:rsidRPr="00B7296F">
        <w:rPr>
          <w:rFonts w:ascii="Times New Roman" w:hAnsi="Times New Roman" w:cs="Times New Roman"/>
          <w:sz w:val="24"/>
          <w:szCs w:val="24"/>
        </w:rPr>
        <w:lastRenderedPageBreak/>
        <w:t>time of the interrogation and the lack of a warning statement against the treatment of any information communicated amounts to Miranda violation. The jury might consider this and fail to include the solemn statement in the charges against Charlie. This will make the appeal successful as the statement will not be used against Charlie even with enough evidence.</w:t>
      </w:r>
    </w:p>
    <w:p w:rsidR="00B7296F" w:rsidRPr="00B7296F" w:rsidRDefault="00B7296F" w:rsidP="00BA2517">
      <w:pPr>
        <w:spacing w:line="480" w:lineRule="auto"/>
        <w:jc w:val="both"/>
        <w:rPr>
          <w:rFonts w:ascii="Times New Roman" w:hAnsi="Times New Roman" w:cs="Times New Roman"/>
          <w:sz w:val="24"/>
          <w:szCs w:val="24"/>
        </w:rPr>
      </w:pPr>
    </w:p>
    <w:p w:rsidR="00B7296F" w:rsidRPr="00B7296F" w:rsidRDefault="00B7296F" w:rsidP="00BA2517">
      <w:pPr>
        <w:spacing w:line="480" w:lineRule="auto"/>
        <w:jc w:val="both"/>
        <w:rPr>
          <w:rFonts w:ascii="Times New Roman" w:hAnsi="Times New Roman" w:cs="Times New Roman"/>
          <w:sz w:val="24"/>
          <w:szCs w:val="24"/>
        </w:rPr>
      </w:pPr>
    </w:p>
    <w:p w:rsidR="00B7296F" w:rsidRPr="00B7296F" w:rsidRDefault="00B7296F" w:rsidP="00BA2517">
      <w:pPr>
        <w:spacing w:line="480" w:lineRule="auto"/>
        <w:jc w:val="both"/>
        <w:rPr>
          <w:rFonts w:ascii="Times New Roman" w:hAnsi="Times New Roman" w:cs="Times New Roman"/>
          <w:sz w:val="24"/>
          <w:szCs w:val="24"/>
        </w:rPr>
      </w:pPr>
    </w:p>
    <w:p w:rsidR="00B7296F" w:rsidRPr="00B7296F" w:rsidRDefault="00B7296F" w:rsidP="00BA2517">
      <w:pPr>
        <w:spacing w:line="480" w:lineRule="auto"/>
        <w:jc w:val="both"/>
        <w:rPr>
          <w:rFonts w:ascii="Times New Roman" w:hAnsi="Times New Roman" w:cs="Times New Roman"/>
          <w:sz w:val="24"/>
          <w:szCs w:val="24"/>
        </w:rPr>
      </w:pPr>
    </w:p>
    <w:p w:rsidR="00B7296F" w:rsidRPr="00B7296F" w:rsidRDefault="00B7296F" w:rsidP="00BA2517">
      <w:pPr>
        <w:spacing w:line="480" w:lineRule="auto"/>
        <w:jc w:val="both"/>
        <w:rPr>
          <w:rFonts w:ascii="Times New Roman" w:hAnsi="Times New Roman" w:cs="Times New Roman"/>
          <w:sz w:val="24"/>
          <w:szCs w:val="24"/>
        </w:rPr>
      </w:pPr>
    </w:p>
    <w:p w:rsidR="00B7296F" w:rsidRPr="00B7296F" w:rsidRDefault="00B7296F" w:rsidP="00BA2517">
      <w:pPr>
        <w:spacing w:line="480" w:lineRule="auto"/>
        <w:jc w:val="both"/>
        <w:rPr>
          <w:rFonts w:ascii="Times New Roman" w:hAnsi="Times New Roman" w:cs="Times New Roman"/>
          <w:sz w:val="24"/>
          <w:szCs w:val="24"/>
        </w:rPr>
      </w:pPr>
    </w:p>
    <w:p w:rsidR="00B7296F" w:rsidRPr="00B7296F" w:rsidRDefault="00B7296F" w:rsidP="00BA2517">
      <w:pPr>
        <w:spacing w:line="480" w:lineRule="auto"/>
        <w:jc w:val="both"/>
        <w:rPr>
          <w:rFonts w:ascii="Times New Roman" w:hAnsi="Times New Roman" w:cs="Times New Roman"/>
          <w:sz w:val="24"/>
          <w:szCs w:val="24"/>
        </w:rPr>
      </w:pPr>
    </w:p>
    <w:p w:rsidR="00B7296F" w:rsidRPr="00B7296F" w:rsidRDefault="00B7296F" w:rsidP="00BA2517">
      <w:pPr>
        <w:spacing w:line="480" w:lineRule="auto"/>
        <w:jc w:val="both"/>
        <w:rPr>
          <w:rFonts w:ascii="Times New Roman" w:hAnsi="Times New Roman" w:cs="Times New Roman"/>
          <w:sz w:val="24"/>
          <w:szCs w:val="24"/>
        </w:rPr>
      </w:pPr>
    </w:p>
    <w:p w:rsidR="00B7296F" w:rsidRPr="00B7296F" w:rsidRDefault="00B7296F" w:rsidP="00BA2517">
      <w:pPr>
        <w:spacing w:line="480" w:lineRule="auto"/>
        <w:jc w:val="both"/>
        <w:rPr>
          <w:rFonts w:ascii="Times New Roman" w:hAnsi="Times New Roman" w:cs="Times New Roman"/>
          <w:sz w:val="24"/>
          <w:szCs w:val="24"/>
        </w:rPr>
      </w:pPr>
    </w:p>
    <w:p w:rsidR="00B7296F" w:rsidRPr="00B7296F" w:rsidRDefault="00B7296F" w:rsidP="00BA2517">
      <w:pPr>
        <w:spacing w:line="480" w:lineRule="auto"/>
        <w:jc w:val="both"/>
        <w:rPr>
          <w:rFonts w:ascii="Times New Roman" w:hAnsi="Times New Roman" w:cs="Times New Roman"/>
          <w:sz w:val="24"/>
          <w:szCs w:val="24"/>
        </w:rPr>
      </w:pPr>
    </w:p>
    <w:p w:rsidR="00B7296F" w:rsidRPr="00B7296F" w:rsidRDefault="00B7296F" w:rsidP="00BA2517">
      <w:pPr>
        <w:spacing w:line="480" w:lineRule="auto"/>
        <w:jc w:val="both"/>
        <w:rPr>
          <w:rFonts w:ascii="Times New Roman" w:hAnsi="Times New Roman" w:cs="Times New Roman"/>
          <w:sz w:val="24"/>
          <w:szCs w:val="24"/>
        </w:rPr>
      </w:pPr>
    </w:p>
    <w:p w:rsidR="00B7296F" w:rsidRPr="00B7296F" w:rsidRDefault="00B7296F" w:rsidP="00BA2517">
      <w:pPr>
        <w:spacing w:line="480" w:lineRule="auto"/>
        <w:jc w:val="both"/>
        <w:rPr>
          <w:rFonts w:ascii="Times New Roman" w:hAnsi="Times New Roman" w:cs="Times New Roman"/>
          <w:sz w:val="24"/>
          <w:szCs w:val="24"/>
        </w:rPr>
      </w:pPr>
    </w:p>
    <w:p w:rsidR="00B7296F" w:rsidRPr="00B7296F" w:rsidRDefault="00B7296F" w:rsidP="00BA2517">
      <w:pPr>
        <w:spacing w:line="480" w:lineRule="auto"/>
        <w:jc w:val="both"/>
        <w:rPr>
          <w:rFonts w:ascii="Times New Roman" w:hAnsi="Times New Roman" w:cs="Times New Roman"/>
          <w:sz w:val="24"/>
          <w:szCs w:val="24"/>
        </w:rPr>
      </w:pPr>
    </w:p>
    <w:p w:rsidR="00B7296F" w:rsidRPr="00B7296F" w:rsidRDefault="00B7296F" w:rsidP="00BA2517">
      <w:pPr>
        <w:spacing w:line="480" w:lineRule="auto"/>
        <w:jc w:val="both"/>
        <w:rPr>
          <w:rFonts w:ascii="Times New Roman" w:hAnsi="Times New Roman" w:cs="Times New Roman"/>
          <w:sz w:val="24"/>
          <w:szCs w:val="24"/>
        </w:rPr>
      </w:pPr>
    </w:p>
    <w:p w:rsidR="00BA2517" w:rsidRDefault="00BA2517" w:rsidP="00BA2517">
      <w:pPr>
        <w:spacing w:line="480" w:lineRule="auto"/>
        <w:jc w:val="both"/>
        <w:rPr>
          <w:rFonts w:ascii="Times New Roman" w:hAnsi="Times New Roman" w:cs="Times New Roman"/>
          <w:sz w:val="24"/>
          <w:szCs w:val="24"/>
        </w:rPr>
      </w:pPr>
    </w:p>
    <w:p w:rsidR="00DE1F2C" w:rsidRPr="00B7296F" w:rsidRDefault="00480603" w:rsidP="00BA2517">
      <w:pPr>
        <w:spacing w:line="480" w:lineRule="auto"/>
        <w:jc w:val="center"/>
        <w:rPr>
          <w:rFonts w:ascii="Times New Roman" w:hAnsi="Times New Roman" w:cs="Times New Roman"/>
          <w:sz w:val="24"/>
          <w:szCs w:val="24"/>
        </w:rPr>
      </w:pPr>
      <w:r w:rsidRPr="00B7296F">
        <w:rPr>
          <w:rFonts w:ascii="Times New Roman" w:hAnsi="Times New Roman" w:cs="Times New Roman"/>
          <w:sz w:val="24"/>
          <w:szCs w:val="24"/>
        </w:rPr>
        <w:t>References</w:t>
      </w:r>
    </w:p>
    <w:p w:rsidR="00DE1F2C" w:rsidRPr="00B7296F" w:rsidRDefault="00480603" w:rsidP="00BA2517">
      <w:pPr>
        <w:spacing w:line="480" w:lineRule="auto"/>
        <w:jc w:val="both"/>
        <w:rPr>
          <w:rFonts w:ascii="Times New Roman" w:hAnsi="Times New Roman" w:cs="Times New Roman"/>
          <w:sz w:val="24"/>
          <w:szCs w:val="24"/>
        </w:rPr>
      </w:pPr>
      <w:r w:rsidRPr="00B7296F">
        <w:rPr>
          <w:rFonts w:ascii="Times New Roman" w:hAnsi="Times New Roman" w:cs="Times New Roman"/>
          <w:color w:val="222222"/>
          <w:sz w:val="24"/>
          <w:szCs w:val="24"/>
          <w:shd w:val="clear" w:color="auto" w:fill="FFFFFF"/>
        </w:rPr>
        <w:t>Pellegrino, T. M. (2019). Facially Exculpatory Yet Inherently Incriminating: Why Affirmative Defense Statements Should Qualify as Statements Against Penal Interest Under Rule 804 (b</w:t>
      </w:r>
      <w:r w:rsidR="00BA2517" w:rsidRPr="00B7296F">
        <w:rPr>
          <w:rFonts w:ascii="Times New Roman" w:hAnsi="Times New Roman" w:cs="Times New Roman"/>
          <w:color w:val="222222"/>
          <w:sz w:val="24"/>
          <w:szCs w:val="24"/>
          <w:shd w:val="clear" w:color="auto" w:fill="FFFFFF"/>
        </w:rPr>
        <w:t>) (</w:t>
      </w:r>
      <w:r w:rsidRPr="00B7296F">
        <w:rPr>
          <w:rFonts w:ascii="Times New Roman" w:hAnsi="Times New Roman" w:cs="Times New Roman"/>
          <w:color w:val="222222"/>
          <w:sz w:val="24"/>
          <w:szCs w:val="24"/>
          <w:shd w:val="clear" w:color="auto" w:fill="FFFFFF"/>
        </w:rPr>
        <w:t>3). </w:t>
      </w:r>
      <w:r w:rsidRPr="00B7296F">
        <w:rPr>
          <w:rFonts w:ascii="Times New Roman" w:hAnsi="Times New Roman" w:cs="Times New Roman"/>
          <w:i/>
          <w:iCs/>
          <w:color w:val="222222"/>
          <w:sz w:val="24"/>
          <w:szCs w:val="24"/>
          <w:shd w:val="clear" w:color="auto" w:fill="FFFFFF"/>
        </w:rPr>
        <w:t>Geo. LJ</w:t>
      </w:r>
      <w:r w:rsidRPr="00B7296F">
        <w:rPr>
          <w:rFonts w:ascii="Times New Roman" w:hAnsi="Times New Roman" w:cs="Times New Roman"/>
          <w:color w:val="222222"/>
          <w:sz w:val="24"/>
          <w:szCs w:val="24"/>
          <w:shd w:val="clear" w:color="auto" w:fill="FFFFFF"/>
        </w:rPr>
        <w:t>, </w:t>
      </w:r>
      <w:r w:rsidRPr="00B7296F">
        <w:rPr>
          <w:rFonts w:ascii="Times New Roman" w:hAnsi="Times New Roman" w:cs="Times New Roman"/>
          <w:i/>
          <w:iCs/>
          <w:color w:val="222222"/>
          <w:sz w:val="24"/>
          <w:szCs w:val="24"/>
          <w:shd w:val="clear" w:color="auto" w:fill="FFFFFF"/>
        </w:rPr>
        <w:t>108</w:t>
      </w:r>
      <w:r w:rsidRPr="00B7296F">
        <w:rPr>
          <w:rFonts w:ascii="Times New Roman" w:hAnsi="Times New Roman" w:cs="Times New Roman"/>
          <w:color w:val="222222"/>
          <w:sz w:val="24"/>
          <w:szCs w:val="24"/>
          <w:shd w:val="clear" w:color="auto" w:fill="FFFFFF"/>
        </w:rPr>
        <w:t>, 203.</w:t>
      </w:r>
    </w:p>
    <w:p w:rsidR="00DE1F2C" w:rsidRPr="00B7296F" w:rsidRDefault="00480603" w:rsidP="00BA2517">
      <w:pPr>
        <w:spacing w:line="480" w:lineRule="auto"/>
        <w:jc w:val="both"/>
        <w:rPr>
          <w:rFonts w:ascii="Times New Roman" w:hAnsi="Times New Roman" w:cs="Times New Roman"/>
          <w:color w:val="222222"/>
          <w:sz w:val="24"/>
          <w:szCs w:val="24"/>
          <w:shd w:val="clear" w:color="auto" w:fill="FFFFFF"/>
        </w:rPr>
      </w:pPr>
      <w:r w:rsidRPr="00B7296F">
        <w:rPr>
          <w:rFonts w:ascii="Times New Roman" w:hAnsi="Times New Roman" w:cs="Times New Roman"/>
          <w:color w:val="222222"/>
          <w:sz w:val="24"/>
          <w:szCs w:val="24"/>
          <w:shd w:val="clear" w:color="auto" w:fill="FFFFFF"/>
        </w:rPr>
        <w:t>Practicum, A. (2018). Wren Thomas v. Chevron USA United States Court of Appeals, Fifth Circuit 832 F. 3d 586 (Filed August 11, 2016).</w:t>
      </w:r>
    </w:p>
    <w:p w:rsidR="00F801D8" w:rsidRPr="00B7296F" w:rsidRDefault="00480603" w:rsidP="00BA2517">
      <w:pPr>
        <w:spacing w:line="480" w:lineRule="auto"/>
        <w:jc w:val="both"/>
        <w:rPr>
          <w:rFonts w:ascii="Times New Roman" w:hAnsi="Times New Roman" w:cs="Times New Roman"/>
          <w:sz w:val="24"/>
          <w:szCs w:val="24"/>
        </w:rPr>
      </w:pPr>
      <w:r w:rsidRPr="00B7296F">
        <w:rPr>
          <w:rFonts w:ascii="Times New Roman" w:hAnsi="Times New Roman" w:cs="Times New Roman"/>
          <w:color w:val="222222"/>
          <w:sz w:val="24"/>
          <w:szCs w:val="24"/>
          <w:shd w:val="clear" w:color="auto" w:fill="FFFFFF"/>
        </w:rPr>
        <w:t xml:space="preserve">Truong, T. N., Kelley, S. E., &amp; Eden’s, J. F. (2020). Does Psychopathy Influence Juror Decision-Making in Capital Murder Trials? “The Devil is in the (Methodological) Details." </w:t>
      </w:r>
      <w:r w:rsidRPr="00B7296F">
        <w:rPr>
          <w:rFonts w:ascii="Times New Roman" w:hAnsi="Times New Roman" w:cs="Times New Roman"/>
          <w:i/>
          <w:iCs/>
          <w:color w:val="222222"/>
          <w:sz w:val="24"/>
          <w:szCs w:val="24"/>
          <w:shd w:val="clear" w:color="auto" w:fill="FFFFFF"/>
        </w:rPr>
        <w:t>Criminal Justice and Behavior</w:t>
      </w:r>
      <w:r w:rsidRPr="00B7296F">
        <w:rPr>
          <w:rFonts w:ascii="Times New Roman" w:hAnsi="Times New Roman" w:cs="Times New Roman"/>
          <w:color w:val="222222"/>
          <w:sz w:val="24"/>
          <w:szCs w:val="24"/>
          <w:shd w:val="clear" w:color="auto" w:fill="FFFFFF"/>
        </w:rPr>
        <w:t>, 0093854820966369.</w:t>
      </w:r>
    </w:p>
    <w:p w:rsidR="00DE1F2C" w:rsidRPr="00B7296F" w:rsidRDefault="00480603" w:rsidP="00BA2517">
      <w:pPr>
        <w:spacing w:line="480" w:lineRule="auto"/>
        <w:jc w:val="both"/>
        <w:rPr>
          <w:rFonts w:ascii="Times New Roman" w:hAnsi="Times New Roman" w:cs="Times New Roman"/>
          <w:color w:val="222222"/>
          <w:sz w:val="24"/>
          <w:szCs w:val="24"/>
          <w:shd w:val="clear" w:color="auto" w:fill="FFFFFF"/>
        </w:rPr>
      </w:pPr>
      <w:r w:rsidRPr="00B7296F">
        <w:rPr>
          <w:rFonts w:ascii="Times New Roman" w:hAnsi="Times New Roman" w:cs="Times New Roman"/>
          <w:color w:val="222222"/>
          <w:sz w:val="24"/>
          <w:szCs w:val="24"/>
          <w:shd w:val="clear" w:color="auto" w:fill="FFFFFF"/>
        </w:rPr>
        <w:t>Vernon, M., &amp; Coley, J. (2019). Violation of Constitutional Rights: The Language Impaired Person and the Miranda Warnings. </w:t>
      </w:r>
      <w:r w:rsidRPr="00B7296F">
        <w:rPr>
          <w:rFonts w:ascii="Times New Roman" w:hAnsi="Times New Roman" w:cs="Times New Roman"/>
          <w:i/>
          <w:iCs/>
          <w:color w:val="222222"/>
          <w:sz w:val="24"/>
          <w:szCs w:val="24"/>
          <w:shd w:val="clear" w:color="auto" w:fill="FFFFFF"/>
        </w:rPr>
        <w:t>JADARA</w:t>
      </w:r>
      <w:r w:rsidRPr="00B7296F">
        <w:rPr>
          <w:rFonts w:ascii="Times New Roman" w:hAnsi="Times New Roman" w:cs="Times New Roman"/>
          <w:color w:val="222222"/>
          <w:sz w:val="24"/>
          <w:szCs w:val="24"/>
          <w:shd w:val="clear" w:color="auto" w:fill="FFFFFF"/>
        </w:rPr>
        <w:t>, </w:t>
      </w:r>
      <w:r w:rsidRPr="00B7296F">
        <w:rPr>
          <w:rFonts w:ascii="Times New Roman" w:hAnsi="Times New Roman" w:cs="Times New Roman"/>
          <w:i/>
          <w:iCs/>
          <w:color w:val="222222"/>
          <w:sz w:val="24"/>
          <w:szCs w:val="24"/>
          <w:shd w:val="clear" w:color="auto" w:fill="FFFFFF"/>
        </w:rPr>
        <w:t>11</w:t>
      </w:r>
      <w:r w:rsidRPr="00B7296F">
        <w:rPr>
          <w:rFonts w:ascii="Times New Roman" w:hAnsi="Times New Roman" w:cs="Times New Roman"/>
          <w:color w:val="222222"/>
          <w:sz w:val="24"/>
          <w:szCs w:val="24"/>
          <w:shd w:val="clear" w:color="auto" w:fill="FFFFFF"/>
        </w:rPr>
        <w:t>(4), 4.</w:t>
      </w:r>
    </w:p>
    <w:p w:rsidR="00DE1F2C" w:rsidRPr="00B7296F" w:rsidRDefault="00DE1F2C" w:rsidP="00BA2517">
      <w:pPr>
        <w:spacing w:line="480" w:lineRule="auto"/>
        <w:jc w:val="both"/>
        <w:rPr>
          <w:rFonts w:ascii="Times New Roman" w:hAnsi="Times New Roman" w:cs="Times New Roman"/>
          <w:sz w:val="24"/>
          <w:szCs w:val="24"/>
        </w:rPr>
      </w:pPr>
    </w:p>
    <w:sectPr w:rsidR="00DE1F2C" w:rsidRPr="00B7296F" w:rsidSect="00F801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28B" w:rsidRDefault="008D428B">
      <w:pPr>
        <w:spacing w:after="0" w:line="240" w:lineRule="auto"/>
      </w:pPr>
      <w:r>
        <w:separator/>
      </w:r>
    </w:p>
  </w:endnote>
  <w:endnote w:type="continuationSeparator" w:id="0">
    <w:p w:rsidR="008D428B" w:rsidRDefault="008D4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28B" w:rsidRDefault="008D428B">
      <w:pPr>
        <w:spacing w:after="0" w:line="240" w:lineRule="auto"/>
      </w:pPr>
      <w:r>
        <w:separator/>
      </w:r>
    </w:p>
  </w:footnote>
  <w:footnote w:type="continuationSeparator" w:id="0">
    <w:p w:rsidR="008D428B" w:rsidRDefault="008D42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296F" w:rsidRPr="00B7296F" w:rsidRDefault="00B7296F" w:rsidP="00B7296F">
    <w:pPr>
      <w:pStyle w:val="Header"/>
      <w:spacing w:line="480" w:lineRule="auto"/>
      <w:jc w:val="right"/>
      <w:rPr>
        <w:rFonts w:ascii="Times New Roman" w:hAnsi="Times New Roman" w:cs="Times New Roman"/>
        <w:sz w:val="24"/>
        <w:szCs w:val="24"/>
      </w:rPr>
    </w:pPr>
    <w:r w:rsidRPr="00B7296F">
      <w:rPr>
        <w:rFonts w:ascii="Times New Roman" w:hAnsi="Times New Roman" w:cs="Times New Roman"/>
        <w:sz w:val="24"/>
        <w:szCs w:val="24"/>
      </w:rPr>
      <w:t>APPLICATION OF LAW:</w:t>
    </w:r>
    <w:r w:rsidRPr="00B7296F">
      <w:rPr>
        <w:rFonts w:ascii="Times New Roman" w:hAnsi="Times New Roman" w:cs="Times New Roman"/>
        <w:sz w:val="24"/>
        <w:szCs w:val="24"/>
      </w:rPr>
      <w:tab/>
    </w:r>
    <w:r w:rsidRPr="00B7296F">
      <w:rPr>
        <w:rFonts w:ascii="Times New Roman" w:hAnsi="Times New Roman" w:cs="Times New Roman"/>
        <w:sz w:val="24"/>
        <w:szCs w:val="24"/>
      </w:rPr>
      <w:tab/>
    </w:r>
    <w:sdt>
      <w:sdtPr>
        <w:rPr>
          <w:rFonts w:ascii="Times New Roman" w:hAnsi="Times New Roman" w:cs="Times New Roman"/>
          <w:sz w:val="24"/>
          <w:szCs w:val="24"/>
        </w:rPr>
        <w:id w:val="966704289"/>
        <w:docPartObj>
          <w:docPartGallery w:val="Page Numbers (Top of Page)"/>
          <w:docPartUnique/>
        </w:docPartObj>
      </w:sdtPr>
      <w:sdtEndPr>
        <w:rPr>
          <w:noProof/>
        </w:rPr>
      </w:sdtEndPr>
      <w:sdtContent>
        <w:r w:rsidRPr="00B7296F">
          <w:rPr>
            <w:rFonts w:ascii="Times New Roman" w:hAnsi="Times New Roman" w:cs="Times New Roman"/>
            <w:sz w:val="24"/>
            <w:szCs w:val="24"/>
          </w:rPr>
          <w:fldChar w:fldCharType="begin"/>
        </w:r>
        <w:r w:rsidRPr="00B7296F">
          <w:rPr>
            <w:rFonts w:ascii="Times New Roman" w:hAnsi="Times New Roman" w:cs="Times New Roman"/>
            <w:sz w:val="24"/>
            <w:szCs w:val="24"/>
          </w:rPr>
          <w:instrText xml:space="preserve"> PAGE   \* MERGEFORMAT </w:instrText>
        </w:r>
        <w:r w:rsidRPr="00B7296F">
          <w:rPr>
            <w:rFonts w:ascii="Times New Roman" w:hAnsi="Times New Roman" w:cs="Times New Roman"/>
            <w:sz w:val="24"/>
            <w:szCs w:val="24"/>
          </w:rPr>
          <w:fldChar w:fldCharType="separate"/>
        </w:r>
        <w:r w:rsidR="006E66BE">
          <w:rPr>
            <w:rFonts w:ascii="Times New Roman" w:hAnsi="Times New Roman" w:cs="Times New Roman"/>
            <w:noProof/>
            <w:sz w:val="24"/>
            <w:szCs w:val="24"/>
          </w:rPr>
          <w:t>4</w:t>
        </w:r>
        <w:r w:rsidRPr="00B7296F">
          <w:rPr>
            <w:rFonts w:ascii="Times New Roman" w:hAnsi="Times New Roman" w:cs="Times New Roman"/>
            <w:noProof/>
            <w:sz w:val="24"/>
            <w:szCs w:val="24"/>
          </w:rPr>
          <w:fldChar w:fldCharType="end"/>
        </w:r>
      </w:sdtContent>
    </w:sdt>
  </w:p>
  <w:p w:rsidR="00B7296F" w:rsidRPr="00B7296F" w:rsidRDefault="00B7296F" w:rsidP="00B7296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1D8" w:rsidRPr="00F801D8" w:rsidRDefault="00480603" w:rsidP="00F801D8">
    <w:pPr>
      <w:pStyle w:val="Header"/>
      <w:spacing w:line="480" w:lineRule="auto"/>
      <w:jc w:val="right"/>
      <w:rPr>
        <w:rFonts w:ascii="Times New Roman" w:hAnsi="Times New Roman" w:cs="Times New Roman"/>
        <w:sz w:val="24"/>
        <w:szCs w:val="24"/>
      </w:rPr>
    </w:pPr>
    <w:r w:rsidRPr="00F801D8">
      <w:rPr>
        <w:rFonts w:ascii="Times New Roman" w:hAnsi="Times New Roman" w:cs="Times New Roman"/>
        <w:sz w:val="24"/>
        <w:szCs w:val="24"/>
      </w:rPr>
      <w:t>APPLICATION OF LAW:</w:t>
    </w:r>
    <w:r w:rsidRPr="00F801D8">
      <w:rPr>
        <w:rFonts w:ascii="Times New Roman" w:hAnsi="Times New Roman" w:cs="Times New Roman"/>
        <w:sz w:val="24"/>
        <w:szCs w:val="24"/>
      </w:rPr>
      <w:tab/>
    </w:r>
    <w:r w:rsidRPr="00F801D8">
      <w:rPr>
        <w:rFonts w:ascii="Times New Roman" w:hAnsi="Times New Roman" w:cs="Times New Roman"/>
        <w:sz w:val="24"/>
        <w:szCs w:val="24"/>
      </w:rPr>
      <w:tab/>
    </w:r>
    <w:sdt>
      <w:sdtPr>
        <w:rPr>
          <w:rFonts w:ascii="Times New Roman" w:hAnsi="Times New Roman" w:cs="Times New Roman"/>
          <w:sz w:val="24"/>
          <w:szCs w:val="24"/>
        </w:rPr>
        <w:id w:val="-780414607"/>
        <w:docPartObj>
          <w:docPartGallery w:val="Page Numbers (Top of Page)"/>
          <w:docPartUnique/>
        </w:docPartObj>
      </w:sdtPr>
      <w:sdtEndPr>
        <w:rPr>
          <w:noProof/>
        </w:rPr>
      </w:sdtEndPr>
      <w:sdtContent>
        <w:r w:rsidRPr="00F801D8">
          <w:rPr>
            <w:rFonts w:ascii="Times New Roman" w:hAnsi="Times New Roman" w:cs="Times New Roman"/>
            <w:sz w:val="24"/>
            <w:szCs w:val="24"/>
          </w:rPr>
          <w:fldChar w:fldCharType="begin"/>
        </w:r>
        <w:r w:rsidRPr="00F801D8">
          <w:rPr>
            <w:rFonts w:ascii="Times New Roman" w:hAnsi="Times New Roman" w:cs="Times New Roman"/>
            <w:sz w:val="24"/>
            <w:szCs w:val="24"/>
          </w:rPr>
          <w:instrText xml:space="preserve"> PAGE   \* MERGEFORMAT </w:instrText>
        </w:r>
        <w:r w:rsidRPr="00F801D8">
          <w:rPr>
            <w:rFonts w:ascii="Times New Roman" w:hAnsi="Times New Roman" w:cs="Times New Roman"/>
            <w:sz w:val="24"/>
            <w:szCs w:val="24"/>
          </w:rPr>
          <w:fldChar w:fldCharType="separate"/>
        </w:r>
        <w:r w:rsidR="006E66BE">
          <w:rPr>
            <w:rFonts w:ascii="Times New Roman" w:hAnsi="Times New Roman" w:cs="Times New Roman"/>
            <w:noProof/>
            <w:sz w:val="24"/>
            <w:szCs w:val="24"/>
          </w:rPr>
          <w:t>1</w:t>
        </w:r>
        <w:r w:rsidRPr="00F801D8">
          <w:rPr>
            <w:rFonts w:ascii="Times New Roman" w:hAnsi="Times New Roman" w:cs="Times New Roman"/>
            <w:noProof/>
            <w:sz w:val="24"/>
            <w:szCs w:val="24"/>
          </w:rPr>
          <w:fldChar w:fldCharType="end"/>
        </w:r>
      </w:sdtContent>
    </w:sdt>
  </w:p>
  <w:p w:rsidR="00F801D8" w:rsidRPr="00F801D8" w:rsidRDefault="00F801D8" w:rsidP="00F801D8">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D84"/>
    <w:rsid w:val="00150DAA"/>
    <w:rsid w:val="003E3C14"/>
    <w:rsid w:val="003F2D84"/>
    <w:rsid w:val="00480603"/>
    <w:rsid w:val="005A02CC"/>
    <w:rsid w:val="005E2A3D"/>
    <w:rsid w:val="006E66BE"/>
    <w:rsid w:val="006F2A73"/>
    <w:rsid w:val="00817E3B"/>
    <w:rsid w:val="00886D3D"/>
    <w:rsid w:val="008D428B"/>
    <w:rsid w:val="00925EEE"/>
    <w:rsid w:val="00935D4C"/>
    <w:rsid w:val="00A0742F"/>
    <w:rsid w:val="00B7296F"/>
    <w:rsid w:val="00BA2517"/>
    <w:rsid w:val="00BA4FC8"/>
    <w:rsid w:val="00D80E39"/>
    <w:rsid w:val="00DE1F2C"/>
    <w:rsid w:val="00EC40BD"/>
    <w:rsid w:val="00ED2FF0"/>
    <w:rsid w:val="00F331CE"/>
    <w:rsid w:val="00F801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F252BC-576D-4ED1-A67E-6A0585DC2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1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1D8"/>
  </w:style>
  <w:style w:type="paragraph" w:styleId="Footer">
    <w:name w:val="footer"/>
    <w:basedOn w:val="Normal"/>
    <w:link w:val="FooterChar"/>
    <w:uiPriority w:val="99"/>
    <w:unhideWhenUsed/>
    <w:rsid w:val="00F801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1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Arthur</dc:creator>
  <cp:lastModifiedBy>hp</cp:lastModifiedBy>
  <cp:revision>2</cp:revision>
  <dcterms:created xsi:type="dcterms:W3CDTF">2020-12-15T20:42:00Z</dcterms:created>
  <dcterms:modified xsi:type="dcterms:W3CDTF">2020-12-15T20:42:00Z</dcterms:modified>
</cp:coreProperties>
</file>